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80" w:rsidRDefault="00882F80">
      <w:pPr>
        <w:rPr>
          <w:rFonts w:ascii="Segoe UI" w:hAnsi="Segoe UI" w:cs="Segoe UI"/>
          <w:color w:val="000000"/>
          <w:sz w:val="20"/>
          <w:szCs w:val="20"/>
        </w:rPr>
      </w:pPr>
    </w:p>
    <w:p w:rsidR="00882F80" w:rsidRPr="00F04117" w:rsidRDefault="00F04117">
      <w:pPr>
        <w:rPr>
          <w:rFonts w:ascii="Segoe UI" w:hAnsi="Segoe UI" w:cs="Segoe UI"/>
          <w:b/>
          <w:color w:val="000000"/>
          <w:sz w:val="20"/>
          <w:szCs w:val="20"/>
        </w:rPr>
      </w:pPr>
      <w:r w:rsidRPr="00F04117">
        <w:rPr>
          <w:rFonts w:ascii="Segoe UI" w:hAnsi="Segoe UI" w:cs="Segoe UI"/>
          <w:b/>
          <w:color w:val="000000"/>
          <w:sz w:val="20"/>
          <w:szCs w:val="20"/>
        </w:rPr>
        <w:t>LINK REG 13 (3) FOR THE QUARTER ENDED SEPTEMBER 2019:</w:t>
      </w:r>
    </w:p>
    <w:p w:rsidR="00882F80" w:rsidRDefault="00882F80">
      <w:pPr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9B6201" w:rsidRDefault="00F04117">
      <w:hyperlink r:id="rId5" w:history="1">
        <w:r w:rsidR="00882F80" w:rsidRPr="009728DB">
          <w:rPr>
            <w:rStyle w:val="Hyperlink"/>
            <w:rFonts w:ascii="Segoe UI" w:hAnsi="Segoe UI" w:cs="Segoe UI"/>
            <w:sz w:val="20"/>
            <w:szCs w:val="20"/>
          </w:rPr>
          <w:t>https://www.bseindia.com/corporates/anndet_new.aspx?newsid=b5a6458a-b749-4772-ac20-ce546d0a31c9&amp;flag=C&amp;type=A&amp;scrip_CD=511401</w:t>
        </w:r>
      </w:hyperlink>
      <w:r w:rsidR="00882F80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9B6201" w:rsidRDefault="009B6201" w:rsidP="009B6201"/>
    <w:p w:rsidR="009B6201" w:rsidRDefault="009B6201" w:rsidP="009B6201"/>
    <w:p w:rsidR="009B6201" w:rsidRPr="00F04117" w:rsidRDefault="009B6201" w:rsidP="009B6201">
      <w:pPr>
        <w:rPr>
          <w:b/>
        </w:rPr>
      </w:pPr>
      <w:bookmarkStart w:id="0" w:name="_GoBack"/>
      <w:r w:rsidRPr="00F04117">
        <w:rPr>
          <w:b/>
        </w:rPr>
        <w:t>LINK TO REG 31 – SHAREHOLDING PATTERN FOR THE QUARTER ENDED SEPTEMBER 2019:</w:t>
      </w:r>
    </w:p>
    <w:bookmarkEnd w:id="0"/>
    <w:p w:rsidR="008442DD" w:rsidRPr="009B6201" w:rsidRDefault="00F04117" w:rsidP="009B6201">
      <w:r>
        <w:fldChar w:fldCharType="begin"/>
      </w:r>
      <w:r>
        <w:instrText xml:space="preserve"> HYPERLINK "https://www.bseindia.com/corporates/s</w:instrText>
      </w:r>
      <w:r>
        <w:instrText xml:space="preserve">hpSecurities.aspx?scripcd=511401&amp;qtrid=103.00" </w:instrText>
      </w:r>
      <w:r>
        <w:fldChar w:fldCharType="separate"/>
      </w:r>
      <w:r w:rsidR="009B6201" w:rsidRPr="009728DB">
        <w:rPr>
          <w:rStyle w:val="Hyperlink"/>
          <w:rFonts w:ascii="Segoe UI" w:hAnsi="Segoe UI" w:cs="Segoe UI"/>
          <w:sz w:val="20"/>
          <w:szCs w:val="20"/>
        </w:rPr>
        <w:t>https://www.bseindia.com/corporates/shpSecurities.aspx?scripcd=511401&amp;qtrid=103.00</w:t>
      </w:r>
      <w:r>
        <w:rPr>
          <w:rStyle w:val="Hyperlink"/>
          <w:rFonts w:ascii="Segoe UI" w:hAnsi="Segoe UI" w:cs="Segoe UI"/>
          <w:sz w:val="20"/>
          <w:szCs w:val="20"/>
        </w:rPr>
        <w:fldChar w:fldCharType="end"/>
      </w:r>
      <w:r w:rsidR="009B6201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sectPr w:rsidR="008442DD" w:rsidRPr="009B6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31"/>
    <w:rsid w:val="00355331"/>
    <w:rsid w:val="003E4D5B"/>
    <w:rsid w:val="003F79DA"/>
    <w:rsid w:val="00882F80"/>
    <w:rsid w:val="009B6201"/>
    <w:rsid w:val="00F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2F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2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corporates/anndet_new.aspx?newsid=b5a6458a-b749-4772-ac20-ce546d0a31c9&amp;flag=C&amp;type=A&amp;scrip_CD=5114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4</cp:revision>
  <dcterms:created xsi:type="dcterms:W3CDTF">2019-11-05T16:17:00Z</dcterms:created>
  <dcterms:modified xsi:type="dcterms:W3CDTF">2019-11-05T17:36:00Z</dcterms:modified>
</cp:coreProperties>
</file>